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427"/>
        </w:tabs>
        <w:spacing w:line="590" w:lineRule="exact"/>
        <w:jc w:val="center"/>
        <w:rPr>
          <w:rFonts w:hint="eastAsia" w:ascii="宋体" w:hAnsi="宋体" w:eastAsia="宋体" w:cs="宋体"/>
          <w:b/>
          <w:bCs w:val="0"/>
          <w:color w:val="auto"/>
          <w:sz w:val="44"/>
          <w:szCs w:val="44"/>
          <w:highlight w:val="yellow"/>
          <w:lang w:eastAsia="zh-CN"/>
        </w:rPr>
      </w:pPr>
      <w:r>
        <w:rPr>
          <w:rFonts w:hint="eastAsia" w:ascii="宋体" w:hAnsi="宋体" w:eastAsia="宋体" w:cs="宋体"/>
          <w:b/>
          <w:bCs w:val="0"/>
          <w:color w:val="auto"/>
          <w:sz w:val="44"/>
          <w:szCs w:val="44"/>
          <w:highlight w:val="yellow"/>
          <w:lang w:eastAsia="zh-CN"/>
        </w:rPr>
        <w:t>XX单位</w:t>
      </w:r>
    </w:p>
    <w:p>
      <w:pPr>
        <w:tabs>
          <w:tab w:val="left" w:pos="3427"/>
        </w:tabs>
        <w:spacing w:line="590" w:lineRule="exact"/>
        <w:jc w:val="center"/>
        <w:rPr>
          <w:rFonts w:hint="eastAsia" w:ascii="宋体" w:hAnsi="宋体" w:eastAsia="宋体" w:cs="宋体"/>
          <w:b/>
          <w:bCs w:val="0"/>
          <w:color w:val="auto"/>
          <w:sz w:val="44"/>
          <w:szCs w:val="44"/>
          <w:highlight w:val="none"/>
        </w:rPr>
      </w:pPr>
      <w:r>
        <w:rPr>
          <w:rFonts w:hint="eastAsia" w:ascii="宋体" w:hAnsi="宋体" w:eastAsia="宋体" w:cs="宋体"/>
          <w:b/>
          <w:bCs w:val="0"/>
          <w:color w:val="auto"/>
          <w:sz w:val="44"/>
          <w:szCs w:val="44"/>
          <w:highlight w:val="none"/>
        </w:rPr>
        <w:t>内部控制考核评价报告</w:t>
      </w:r>
    </w:p>
    <w:p>
      <w:pPr>
        <w:tabs>
          <w:tab w:val="left" w:pos="3427"/>
        </w:tabs>
        <w:spacing w:line="590" w:lineRule="exact"/>
        <w:ind w:firstLine="600" w:firstLineChars="200"/>
        <w:rPr>
          <w:rFonts w:hint="eastAsia" w:ascii="宋体" w:hAnsi="宋体" w:eastAsia="宋体" w:cs="宋体"/>
          <w:bCs/>
          <w:color w:val="auto"/>
          <w:sz w:val="30"/>
          <w:szCs w:val="30"/>
          <w:highlight w:val="none"/>
          <w:lang w:eastAsia="zh-CN"/>
        </w:rPr>
      </w:pPr>
      <w:r>
        <w:rPr>
          <w:rFonts w:hint="eastAsia" w:ascii="宋体" w:hAnsi="宋体" w:eastAsia="宋体" w:cs="宋体"/>
          <w:bCs/>
          <w:color w:val="auto"/>
          <w:sz w:val="30"/>
          <w:szCs w:val="30"/>
          <w:highlight w:val="none"/>
        </w:rPr>
        <w:t>为保证内部控制建设符合单位实际情况，让内部控制体系</w:t>
      </w:r>
      <w:bookmarkStart w:id="12" w:name="_GoBack"/>
      <w:r>
        <w:rPr>
          <w:rFonts w:hint="eastAsia" w:ascii="宋体" w:hAnsi="宋体" w:eastAsia="宋体" w:cs="宋体"/>
          <w:bCs/>
          <w:color w:val="auto"/>
          <w:sz w:val="30"/>
          <w:szCs w:val="30"/>
          <w:highlight w:val="none"/>
        </w:rPr>
        <w:t>建设</w:t>
      </w:r>
      <w:bookmarkEnd w:id="12"/>
      <w:r>
        <w:rPr>
          <w:rFonts w:hint="eastAsia" w:ascii="宋体" w:hAnsi="宋体" w:eastAsia="宋体" w:cs="宋体"/>
          <w:bCs/>
          <w:color w:val="auto"/>
          <w:sz w:val="30"/>
          <w:szCs w:val="30"/>
          <w:highlight w:val="none"/>
        </w:rPr>
        <w:t>能够有效提升单位管理水平，</w:t>
      </w:r>
      <w:r>
        <w:rPr>
          <w:rFonts w:hint="eastAsia" w:ascii="宋体" w:hAnsi="宋体" w:eastAsia="宋体" w:cs="宋体"/>
          <w:bCs/>
          <w:color w:val="auto"/>
          <w:sz w:val="30"/>
          <w:szCs w:val="30"/>
          <w:highlight w:val="none"/>
          <w:lang w:val="en-US" w:eastAsia="zh-CN"/>
        </w:rPr>
        <w:t>内部控制评价与监督部门</w:t>
      </w:r>
      <w:r>
        <w:rPr>
          <w:rFonts w:hint="eastAsia" w:ascii="宋体" w:hAnsi="宋体" w:eastAsia="宋体" w:cs="宋体"/>
          <w:bCs/>
          <w:color w:val="auto"/>
          <w:sz w:val="30"/>
          <w:szCs w:val="30"/>
          <w:highlight w:val="none"/>
        </w:rPr>
        <w:t>组织了对</w:t>
      </w:r>
      <w:r>
        <w:rPr>
          <w:rFonts w:hint="eastAsia" w:ascii="宋体" w:hAnsi="宋体" w:eastAsia="宋体" w:cs="宋体"/>
          <w:bCs/>
          <w:color w:val="auto"/>
          <w:sz w:val="30"/>
          <w:szCs w:val="30"/>
          <w:highlight w:val="none"/>
          <w:lang w:val="en-US" w:eastAsia="zh-CN"/>
        </w:rPr>
        <w:t>单位</w:t>
      </w:r>
      <w:r>
        <w:rPr>
          <w:rFonts w:hint="eastAsia" w:ascii="宋体" w:hAnsi="宋体" w:eastAsia="宋体" w:cs="宋体"/>
          <w:bCs/>
          <w:color w:val="auto"/>
          <w:sz w:val="30"/>
          <w:szCs w:val="30"/>
          <w:highlight w:val="none"/>
        </w:rPr>
        <w:t>内部控制</w:t>
      </w:r>
      <w:r>
        <w:rPr>
          <w:rFonts w:hint="eastAsia" w:ascii="宋体" w:hAnsi="宋体" w:eastAsia="宋体" w:cs="宋体"/>
          <w:bCs/>
          <w:color w:val="auto"/>
          <w:sz w:val="30"/>
          <w:szCs w:val="30"/>
          <w:highlight w:val="none"/>
          <w:lang w:val="en-US" w:eastAsia="zh-CN"/>
        </w:rPr>
        <w:t>建立情况进行考核</w:t>
      </w:r>
      <w:r>
        <w:rPr>
          <w:rFonts w:hint="eastAsia" w:ascii="宋体" w:hAnsi="宋体" w:eastAsia="宋体" w:cs="宋体"/>
          <w:bCs/>
          <w:color w:val="auto"/>
          <w:sz w:val="30"/>
          <w:szCs w:val="30"/>
          <w:highlight w:val="none"/>
        </w:rPr>
        <w:t>评价工作，现将工作情况报告如下</w:t>
      </w:r>
      <w:r>
        <w:rPr>
          <w:rFonts w:hint="eastAsia" w:ascii="宋体" w:hAnsi="宋体" w:eastAsia="宋体" w:cs="宋体"/>
          <w:bCs/>
          <w:color w:val="auto"/>
          <w:sz w:val="30"/>
          <w:szCs w:val="30"/>
          <w:highlight w:val="none"/>
          <w:lang w:eastAsia="zh-CN"/>
        </w:rPr>
        <w:t>：</w:t>
      </w:r>
    </w:p>
    <w:p>
      <w:pPr>
        <w:numPr>
          <w:ilvl w:val="0"/>
          <w:numId w:val="1"/>
        </w:numPr>
        <w:tabs>
          <w:tab w:val="left" w:pos="3427"/>
        </w:tabs>
        <w:spacing w:line="590" w:lineRule="exact"/>
        <w:ind w:firstLine="602" w:firstLineChars="200"/>
        <w:rPr>
          <w:rFonts w:ascii="黑体" w:hAnsi="黑体" w:eastAsia="黑体" w:cs="黑体"/>
          <w:b/>
          <w:color w:val="auto"/>
          <w:sz w:val="30"/>
          <w:szCs w:val="30"/>
          <w:highlight w:val="none"/>
        </w:rPr>
      </w:pPr>
      <w:r>
        <w:rPr>
          <w:rFonts w:hint="eastAsia" w:ascii="黑体" w:hAnsi="黑体" w:eastAsia="黑体" w:cs="黑体"/>
          <w:b/>
          <w:color w:val="auto"/>
          <w:sz w:val="30"/>
          <w:szCs w:val="30"/>
          <w:highlight w:val="none"/>
          <w:lang w:val="en-US" w:eastAsia="zh-CN"/>
        </w:rPr>
        <w:t>单位建立与实施内部控制遵循的原则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1、</w:t>
      </w:r>
      <w:r>
        <w:rPr>
          <w:rFonts w:hint="eastAsia" w:ascii="宋体" w:hAnsi="宋体" w:eastAsia="宋体" w:cs="宋体"/>
          <w:bCs/>
          <w:color w:val="auto"/>
          <w:sz w:val="30"/>
          <w:szCs w:val="30"/>
          <w:highlight w:val="none"/>
        </w:rPr>
        <w:t>全面性原则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内部控制应当贯穿决策、执行和监督全过程，覆盖单位的各种业务和事项。在内部控制程序的所有环节中，有一个环节没有发挥作用，所有起作用的环节，也会变得无用。</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2、</w:t>
      </w:r>
      <w:r>
        <w:rPr>
          <w:rFonts w:hint="eastAsia" w:ascii="宋体" w:hAnsi="宋体" w:eastAsia="宋体" w:cs="宋体"/>
          <w:bCs/>
          <w:color w:val="auto"/>
          <w:sz w:val="30"/>
          <w:szCs w:val="30"/>
          <w:highlight w:val="none"/>
        </w:rPr>
        <w:t>重要性原则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内部控制应当在全面控制的基础上</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关注重要业务事项和高风险领域。内部控制不能防范所有风险</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但要关注重要业务和高风险领域，防范颠覆性风险。</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3、</w:t>
      </w:r>
      <w:r>
        <w:rPr>
          <w:rFonts w:hint="eastAsia" w:ascii="宋体" w:hAnsi="宋体" w:eastAsia="宋体" w:cs="宋体"/>
          <w:bCs/>
          <w:color w:val="auto"/>
          <w:sz w:val="30"/>
          <w:szCs w:val="30"/>
          <w:highlight w:val="none"/>
        </w:rPr>
        <w:t>制衡性原则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内部控制应当在权责分配、业务流程等方面形成相互制约、相互监督。内部控制的核心思想是权力平衡，制约对象是权力，权力分配合理，约束适当是内部控制的难点。</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4、</w:t>
      </w:r>
      <w:r>
        <w:rPr>
          <w:rFonts w:hint="eastAsia" w:ascii="宋体" w:hAnsi="宋体" w:eastAsia="宋体" w:cs="宋体"/>
          <w:bCs/>
          <w:color w:val="auto"/>
          <w:sz w:val="30"/>
          <w:szCs w:val="30"/>
          <w:highlight w:val="none"/>
        </w:rPr>
        <w:t>适应性原则</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内部控制应当与单位</w:t>
      </w:r>
      <w:r>
        <w:rPr>
          <w:rFonts w:hint="eastAsia" w:ascii="宋体" w:hAnsi="宋体" w:eastAsia="宋体" w:cs="宋体"/>
          <w:bCs/>
          <w:color w:val="auto"/>
          <w:sz w:val="30"/>
          <w:szCs w:val="30"/>
          <w:highlight w:val="none"/>
          <w:lang w:val="en-US" w:eastAsia="zh-CN"/>
        </w:rPr>
        <w:t>实际情况</w:t>
      </w:r>
      <w:r>
        <w:rPr>
          <w:rFonts w:hint="eastAsia" w:ascii="宋体" w:hAnsi="宋体" w:eastAsia="宋体" w:cs="宋体"/>
          <w:bCs/>
          <w:color w:val="auto"/>
          <w:sz w:val="30"/>
          <w:szCs w:val="30"/>
          <w:highlight w:val="none"/>
        </w:rPr>
        <w:t>相适应</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并随着情况的变化及时加以调整。单位发展的不同阶段、外部环境的变化、战略目标的调整等</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内部控制要随之变动。</w:t>
      </w:r>
    </w:p>
    <w:p>
      <w:pPr>
        <w:numPr>
          <w:ilvl w:val="0"/>
          <w:numId w:val="1"/>
        </w:numPr>
        <w:tabs>
          <w:tab w:val="left" w:pos="3427"/>
        </w:tabs>
        <w:spacing w:line="590" w:lineRule="exact"/>
        <w:ind w:firstLine="602" w:firstLineChars="200"/>
        <w:rPr>
          <w:rFonts w:ascii="黑体" w:hAnsi="黑体" w:eastAsia="黑体" w:cs="黑体"/>
          <w:b/>
          <w:color w:val="auto"/>
          <w:sz w:val="30"/>
          <w:szCs w:val="30"/>
          <w:highlight w:val="none"/>
        </w:rPr>
      </w:pPr>
      <w:r>
        <w:rPr>
          <w:rFonts w:hint="eastAsia" w:ascii="黑体" w:hAnsi="黑体" w:eastAsia="黑体" w:cs="黑体"/>
          <w:b/>
          <w:color w:val="auto"/>
          <w:sz w:val="30"/>
          <w:szCs w:val="30"/>
          <w:highlight w:val="none"/>
          <w:lang w:val="en-US" w:eastAsia="zh-CN"/>
        </w:rPr>
        <w:t>内部控制建设情况的认定</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1、</w:t>
      </w:r>
      <w:r>
        <w:rPr>
          <w:rFonts w:hint="eastAsia" w:ascii="宋体" w:hAnsi="宋体" w:eastAsia="宋体" w:cs="宋体"/>
          <w:bCs/>
          <w:color w:val="auto"/>
          <w:sz w:val="30"/>
          <w:szCs w:val="30"/>
          <w:highlight w:val="none"/>
        </w:rPr>
        <w:t>内部环境是单位实施内部控制</w:t>
      </w:r>
      <w:r>
        <w:rPr>
          <w:rFonts w:hint="eastAsia" w:ascii="宋体" w:hAnsi="宋体" w:eastAsia="宋体" w:cs="宋体"/>
          <w:bCs/>
          <w:color w:val="auto"/>
          <w:sz w:val="30"/>
          <w:szCs w:val="30"/>
          <w:highlight w:val="none"/>
          <w:lang w:val="en-US" w:eastAsia="zh-CN"/>
        </w:rPr>
        <w:t>建设的</w:t>
      </w:r>
      <w:r>
        <w:rPr>
          <w:rFonts w:hint="eastAsia" w:ascii="宋体" w:hAnsi="宋体" w:eastAsia="宋体" w:cs="宋体"/>
          <w:bCs/>
          <w:color w:val="auto"/>
          <w:sz w:val="30"/>
          <w:szCs w:val="30"/>
          <w:highlight w:val="none"/>
        </w:rPr>
        <w:t>基础。</w:t>
      </w:r>
    </w:p>
    <w:p>
      <w:pPr>
        <w:tabs>
          <w:tab w:val="left" w:pos="3427"/>
        </w:tabs>
        <w:spacing w:line="590" w:lineRule="exact"/>
        <w:ind w:firstLine="600" w:firstLineChars="200"/>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单位已按照《行政事业单位内部控制规范（试行）》文件精神，建立规范的单位管理结构和议事规则，明确决策、执行、监督等方面的职责权限，形成科学有效的职责分工和制衡机制。</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2、</w:t>
      </w:r>
      <w:r>
        <w:rPr>
          <w:rFonts w:hint="eastAsia" w:ascii="宋体" w:hAnsi="宋体" w:eastAsia="宋体" w:cs="宋体"/>
          <w:bCs/>
          <w:color w:val="auto"/>
          <w:sz w:val="30"/>
          <w:szCs w:val="30"/>
          <w:highlight w:val="none"/>
        </w:rPr>
        <w:t>风险评估是单位及时识别、系统分析</w:t>
      </w:r>
      <w:r>
        <w:rPr>
          <w:rFonts w:hint="eastAsia" w:ascii="宋体" w:hAnsi="宋体" w:eastAsia="宋体" w:cs="宋体"/>
          <w:bCs/>
          <w:color w:val="auto"/>
          <w:sz w:val="30"/>
          <w:szCs w:val="30"/>
          <w:highlight w:val="none"/>
          <w:lang w:val="en-US" w:eastAsia="zh-CN"/>
        </w:rPr>
        <w:t>业务</w:t>
      </w:r>
      <w:r>
        <w:rPr>
          <w:rFonts w:hint="eastAsia" w:ascii="宋体" w:hAnsi="宋体" w:eastAsia="宋体" w:cs="宋体"/>
          <w:bCs/>
          <w:color w:val="auto"/>
          <w:sz w:val="30"/>
          <w:szCs w:val="30"/>
          <w:highlight w:val="none"/>
        </w:rPr>
        <w:t>活动中与实现内部控制目标相关的风险</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合理确定风险应对策略。</w:t>
      </w:r>
    </w:p>
    <w:p>
      <w:pPr>
        <w:tabs>
          <w:tab w:val="left" w:pos="3427"/>
        </w:tabs>
        <w:spacing w:line="590" w:lineRule="exact"/>
        <w:ind w:firstLine="600" w:firstLineChars="200"/>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单位本年度已开展风险评估工作，对单位存在的风险进行了识别，并针对风险提出了防控措施，确保单位风险可控。</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3、</w:t>
      </w:r>
      <w:r>
        <w:rPr>
          <w:rFonts w:hint="eastAsia" w:ascii="宋体" w:hAnsi="宋体" w:eastAsia="宋体" w:cs="宋体"/>
          <w:bCs/>
          <w:color w:val="auto"/>
          <w:sz w:val="30"/>
          <w:szCs w:val="30"/>
          <w:highlight w:val="none"/>
        </w:rPr>
        <w:t>控制活动是单位根据风险评估结果，用相应的控制措施、政策和方法，将风险控制在可承受范围之内。</w:t>
      </w:r>
    </w:p>
    <w:p>
      <w:pPr>
        <w:tabs>
          <w:tab w:val="left" w:pos="3427"/>
        </w:tabs>
        <w:spacing w:line="590" w:lineRule="exact"/>
        <w:ind w:firstLine="600" w:firstLineChars="2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lang w:val="en-US" w:eastAsia="zh-CN"/>
        </w:rPr>
        <w:t>4、</w:t>
      </w:r>
      <w:r>
        <w:rPr>
          <w:rFonts w:hint="eastAsia" w:ascii="宋体" w:hAnsi="宋体" w:eastAsia="宋体" w:cs="宋体"/>
          <w:bCs/>
          <w:color w:val="auto"/>
          <w:sz w:val="30"/>
          <w:szCs w:val="30"/>
          <w:highlight w:val="none"/>
        </w:rPr>
        <w:t>内部监督是单位对内部控制建立与实施情况进行监督检查</w:t>
      </w:r>
      <w:r>
        <w:rPr>
          <w:rFonts w:hint="eastAsia" w:ascii="宋体" w:hAnsi="宋体" w:eastAsia="宋体" w:cs="宋体"/>
          <w:bCs/>
          <w:color w:val="auto"/>
          <w:sz w:val="30"/>
          <w:szCs w:val="30"/>
          <w:highlight w:val="none"/>
          <w:lang w:eastAsia="zh-CN"/>
        </w:rPr>
        <w:t>，</w:t>
      </w:r>
      <w:r>
        <w:rPr>
          <w:rFonts w:hint="eastAsia" w:ascii="宋体" w:hAnsi="宋体" w:eastAsia="宋体" w:cs="宋体"/>
          <w:bCs/>
          <w:color w:val="auto"/>
          <w:sz w:val="30"/>
          <w:szCs w:val="30"/>
          <w:highlight w:val="none"/>
        </w:rPr>
        <w:t>评价内部控制的有效性，发现内部控制缺陷，应当及时加以改进。</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default"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单位制定了内部控制监督评价制度，确定了内部控制监督与评价部门负责对内部控制执行情况的进行审查和监督、核查工作；同时，按照相关要求组织开展了内控考核评价，对内控制度流程设计的有效性和执行的有效性进行了评价。</w:t>
      </w:r>
    </w:p>
    <w:p>
      <w:pPr>
        <w:numPr>
          <w:ilvl w:val="0"/>
          <w:numId w:val="1"/>
        </w:numPr>
        <w:tabs>
          <w:tab w:val="left" w:pos="3427"/>
        </w:tabs>
        <w:spacing w:line="590" w:lineRule="exact"/>
        <w:ind w:firstLine="602" w:firstLineChars="200"/>
        <w:rPr>
          <w:rFonts w:ascii="黑体" w:hAnsi="黑体" w:eastAsia="黑体" w:cs="黑体"/>
          <w:b/>
          <w:color w:val="auto"/>
          <w:sz w:val="30"/>
          <w:szCs w:val="30"/>
          <w:highlight w:val="none"/>
        </w:rPr>
      </w:pPr>
      <w:r>
        <w:rPr>
          <w:rFonts w:hint="eastAsia" w:ascii="黑体" w:hAnsi="黑体" w:eastAsia="黑体" w:cs="黑体"/>
          <w:b/>
          <w:color w:val="auto"/>
          <w:sz w:val="30"/>
          <w:szCs w:val="30"/>
          <w:highlight w:val="none"/>
          <w:lang w:val="en-US" w:eastAsia="zh-CN"/>
        </w:rPr>
        <w:t>单位评价工作组织情况</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bookmarkStart w:id="0" w:name="_Toc19266"/>
      <w:bookmarkStart w:id="1" w:name="_Toc3840809"/>
      <w:bookmarkStart w:id="2" w:name="_Toc9919"/>
      <w:bookmarkStart w:id="3" w:name="_Toc15593"/>
      <w:r>
        <w:rPr>
          <w:rFonts w:hint="eastAsia" w:ascii="宋体" w:hAnsi="宋体" w:eastAsia="宋体" w:cs="宋体"/>
          <w:bCs/>
          <w:color w:val="auto"/>
          <w:sz w:val="30"/>
          <w:szCs w:val="30"/>
          <w:highlight w:val="none"/>
          <w:lang w:val="en-US" w:eastAsia="zh-CN"/>
        </w:rPr>
        <w:t>（一）工作机制</w:t>
      </w:r>
      <w:bookmarkEnd w:id="0"/>
      <w:bookmarkEnd w:id="1"/>
      <w:bookmarkEnd w:id="2"/>
      <w:bookmarkEnd w:id="3"/>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本次考核评价活动，是在单位内部控制建设领导小组的领导下，由内部控制监督小组具体组织实施。</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default" w:ascii="宋体" w:hAnsi="宋体" w:eastAsia="宋体" w:cs="宋体"/>
          <w:bCs/>
          <w:color w:val="auto"/>
          <w:sz w:val="30"/>
          <w:szCs w:val="30"/>
          <w:highlight w:val="none"/>
          <w:lang w:val="en-US" w:eastAsia="zh-CN"/>
        </w:rPr>
      </w:pPr>
      <w:bookmarkStart w:id="4" w:name="_Toc14479"/>
      <w:bookmarkStart w:id="5" w:name="_Toc7289"/>
      <w:bookmarkStart w:id="6" w:name="_Toc2264"/>
      <w:bookmarkStart w:id="7" w:name="_Toc3840810"/>
      <w:r>
        <w:rPr>
          <w:rFonts w:hint="eastAsia" w:ascii="宋体" w:hAnsi="宋体" w:eastAsia="宋体" w:cs="宋体"/>
          <w:bCs/>
          <w:color w:val="auto"/>
          <w:sz w:val="30"/>
          <w:szCs w:val="30"/>
          <w:highlight w:val="none"/>
          <w:lang w:val="en-US" w:eastAsia="zh-CN"/>
        </w:rPr>
        <w:t>（二）</w:t>
      </w:r>
      <w:bookmarkEnd w:id="4"/>
      <w:bookmarkEnd w:id="5"/>
      <w:bookmarkEnd w:id="6"/>
      <w:bookmarkEnd w:id="7"/>
      <w:r>
        <w:rPr>
          <w:rFonts w:hint="eastAsia" w:ascii="宋体" w:hAnsi="宋体" w:eastAsia="宋体" w:cs="宋体"/>
          <w:bCs/>
          <w:color w:val="auto"/>
          <w:sz w:val="30"/>
          <w:szCs w:val="30"/>
          <w:highlight w:val="none"/>
          <w:lang w:val="en-US" w:eastAsia="zh-CN"/>
        </w:rPr>
        <w:t>评价内容</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单位本次评价活动实行全方位考核，按照《四川省财政厅关于进一步推进我省行政事业单位加强内部控制建设的意见》的通知（成财会发〔2019〕14号）的相关规定，本次考核内容为单位层面和业务层面，其中单位层面主要包括：组织架构、运行机制、关键岗位、风险评估、信息技术运用，业务层面风险主要包括：预算管理、收支管理、政府采购管理、资产管理、合同管理经济活动在运行中存在的问题。</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default" w:ascii="宋体" w:hAnsi="宋体" w:eastAsia="宋体" w:cs="宋体"/>
          <w:bCs/>
          <w:color w:val="auto"/>
          <w:sz w:val="30"/>
          <w:szCs w:val="30"/>
          <w:highlight w:val="none"/>
          <w:lang w:val="en-US" w:eastAsia="zh-CN"/>
        </w:rPr>
      </w:pPr>
      <w:bookmarkStart w:id="8" w:name="_Toc30496"/>
      <w:bookmarkStart w:id="9" w:name="_Toc12236"/>
      <w:bookmarkStart w:id="10" w:name="_Toc3840811"/>
      <w:bookmarkStart w:id="11" w:name="_Toc30083"/>
      <w:r>
        <w:rPr>
          <w:rFonts w:hint="eastAsia" w:ascii="宋体" w:hAnsi="宋体" w:eastAsia="宋体" w:cs="宋体"/>
          <w:bCs/>
          <w:color w:val="auto"/>
          <w:sz w:val="30"/>
          <w:szCs w:val="30"/>
          <w:highlight w:val="none"/>
          <w:lang w:val="en-US" w:eastAsia="zh-CN"/>
        </w:rPr>
        <w:t>（三）</w:t>
      </w:r>
      <w:bookmarkEnd w:id="8"/>
      <w:bookmarkEnd w:id="9"/>
      <w:bookmarkEnd w:id="10"/>
      <w:bookmarkEnd w:id="11"/>
      <w:r>
        <w:rPr>
          <w:rFonts w:hint="eastAsia" w:ascii="宋体" w:hAnsi="宋体" w:eastAsia="宋体" w:cs="宋体"/>
          <w:bCs/>
          <w:color w:val="auto"/>
          <w:sz w:val="30"/>
          <w:szCs w:val="30"/>
          <w:highlight w:val="none"/>
          <w:lang w:val="en-US" w:eastAsia="zh-CN"/>
        </w:rPr>
        <w:t>评价方法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1.资料分析法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以提供资料为基础，以职能部门设置情况为依据，将相关资料按照“制度”、“流程”、“信息系统”、“控制文档”和“其他”进行分类并进行分析，识别制度、关键业务流程、信息系统运用中的缺失情况或差异点。</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2.访谈法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访谈人事与财务科及其他科室关键岗位人员，以获取、核实、印证内控体系建设相关信息。</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3.文件审查法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获取相关发展规划、年度计划、重大决策等文件，审查验证单位层面的内控体系现状。</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4.问题清单法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列出单位内控体系建设单位层面、业务层面的差异及问题，发给相关部门逐一调查了解、沟通内控体系现状。</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5.测试法</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选取某一业务流程，结合关键环节及实施证据，把运行结果与标准流程比对，以发现内控流程缺陷并进行修订。</w:t>
      </w:r>
    </w:p>
    <w:p>
      <w:pPr>
        <w:numPr>
          <w:ilvl w:val="0"/>
          <w:numId w:val="1"/>
        </w:numPr>
        <w:tabs>
          <w:tab w:val="left" w:pos="3427"/>
        </w:tabs>
        <w:spacing w:line="590" w:lineRule="exact"/>
        <w:ind w:firstLine="602" w:firstLineChars="200"/>
        <w:rPr>
          <w:rFonts w:ascii="黑体" w:hAnsi="黑体" w:eastAsia="黑体" w:cs="黑体"/>
          <w:b/>
          <w:color w:val="auto"/>
          <w:sz w:val="30"/>
          <w:szCs w:val="30"/>
          <w:highlight w:val="none"/>
        </w:rPr>
      </w:pPr>
      <w:r>
        <w:rPr>
          <w:rFonts w:hint="eastAsia" w:ascii="黑体" w:hAnsi="黑体" w:eastAsia="黑体" w:cs="黑体"/>
          <w:b/>
          <w:color w:val="auto"/>
          <w:sz w:val="30"/>
          <w:szCs w:val="30"/>
          <w:highlight w:val="none"/>
          <w:lang w:val="en-US" w:eastAsia="zh-CN"/>
        </w:rPr>
        <w:t>对内部控制的自我评价</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综上所述，内部控制监督小组认为：本单位按照《行政事业单位内部控制规范（试行）》要求建立的内部控制体系基本完整、合理，在预算管理、收支管理、政府采购管理、资产管理、合同管理等方面得到了有效执行，防范和化解了各类风险，保障了单位内控规范控制目标。</w:t>
      </w:r>
    </w:p>
    <w:p>
      <w:pPr>
        <w:numPr>
          <w:ilvl w:val="0"/>
          <w:numId w:val="1"/>
        </w:numPr>
        <w:tabs>
          <w:tab w:val="left" w:pos="3427"/>
        </w:tabs>
        <w:spacing w:line="590" w:lineRule="exact"/>
        <w:ind w:firstLine="602" w:firstLineChars="200"/>
        <w:rPr>
          <w:rFonts w:hint="eastAsia" w:ascii="黑体" w:hAnsi="黑体" w:eastAsia="黑体" w:cs="黑体"/>
          <w:b/>
          <w:color w:val="auto"/>
          <w:sz w:val="30"/>
          <w:szCs w:val="30"/>
          <w:highlight w:val="none"/>
          <w:lang w:val="en-US" w:eastAsia="zh-CN"/>
        </w:rPr>
      </w:pPr>
      <w:r>
        <w:rPr>
          <w:rFonts w:hint="eastAsia" w:ascii="黑体" w:hAnsi="黑体" w:eastAsia="黑体" w:cs="黑体"/>
          <w:b/>
          <w:color w:val="auto"/>
          <w:sz w:val="30"/>
          <w:szCs w:val="30"/>
          <w:highlight w:val="none"/>
          <w:lang w:val="en-US" w:eastAsia="zh-CN"/>
        </w:rPr>
        <w:t>对存在问题的整改措施及计划</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对于测试结果和实际基本保持一致的流程，由内控牵头部门进行汇总，组织好相关流程的标准化和固化工作。</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对于在样本规定抽取期间内暂无完整业务发生的业务流程，按方案要求，进行记录和标注，留待适期再行组织相关测试进行穿透。</w:t>
      </w:r>
    </w:p>
    <w:p>
      <w:pPr>
        <w:keepNext w:val="0"/>
        <w:keepLines w:val="0"/>
        <w:pageBreakBefore w:val="0"/>
        <w:widowControl w:val="0"/>
        <w:numPr>
          <w:ilvl w:val="0"/>
          <w:numId w:val="0"/>
        </w:numPr>
        <w:tabs>
          <w:tab w:val="left" w:pos="3427"/>
        </w:tabs>
        <w:kinsoku/>
        <w:wordWrap/>
        <w:overflowPunct/>
        <w:topLinePunct w:val="0"/>
        <w:autoSpaceDE/>
        <w:autoSpaceDN/>
        <w:bidi w:val="0"/>
        <w:adjustRightInd/>
        <w:snapToGrid/>
        <w:spacing w:line="590" w:lineRule="exact"/>
        <w:ind w:firstLine="600" w:firstLineChars="200"/>
        <w:textAlignment w:val="auto"/>
        <w:rPr>
          <w:rFonts w:hint="eastAsia" w:ascii="宋体" w:hAnsi="宋体" w:eastAsia="宋体" w:cs="宋体"/>
          <w:bCs/>
          <w:color w:val="auto"/>
          <w:sz w:val="30"/>
          <w:szCs w:val="30"/>
          <w:highlight w:val="none"/>
          <w:lang w:val="en-US" w:eastAsia="zh-CN"/>
        </w:rPr>
      </w:pPr>
      <w:r>
        <w:rPr>
          <w:rFonts w:hint="eastAsia" w:ascii="宋体" w:hAnsi="宋体" w:eastAsia="宋体" w:cs="宋体"/>
          <w:bCs/>
          <w:color w:val="auto"/>
          <w:sz w:val="30"/>
          <w:szCs w:val="30"/>
          <w:highlight w:val="none"/>
          <w:lang w:val="en-US" w:eastAsia="zh-CN"/>
        </w:rPr>
        <w:t>对于测试结果和实际差异较大的流程，由各业务归口负责人根据测试结果和测试结论进行整改，属设计无效的和咨询人员进行讨论对流程进行优化和调整；属实施无效的督促相关经办人员对流程进行再执行，确保风险可控。</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楷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2720F"/>
    <w:multiLevelType w:val="singleLevel"/>
    <w:tmpl w:val="CE2272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hNDE5ODdjNGRkYTAzMGNhZTllZDMxYzZmNDRhM2IifQ=="/>
  </w:docVars>
  <w:rsids>
    <w:rsidRoot w:val="725C3F7A"/>
    <w:rsid w:val="56C87F90"/>
    <w:rsid w:val="725C3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ind w:firstLine="0" w:firstLineChars="0"/>
      <w:jc w:val="center"/>
      <w:outlineLvl w:val="1"/>
    </w:pPr>
    <w:rPr>
      <w:rFonts w:ascii="Arial" w:hAnsi="Arial" w:eastAsia="微软雅黑"/>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1757</Words>
  <Characters>1767</Characters>
  <Lines>0</Lines>
  <Paragraphs>0</Paragraphs>
  <TotalTime>6</TotalTime>
  <ScaleCrop>false</ScaleCrop>
  <LinksUpToDate>false</LinksUpToDate>
  <CharactersWithSpaces>1767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2022-05-10T05:51:00Z</dcterms:created>
  <dc:creator>6 0</dc:creator>
  <cp:lastModifiedBy>6 0</cp:lastModifiedBy>
  <dcterms:modified xsi:type="dcterms:W3CDTF">2022-05-10T05:59:03Z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0455008699774A92B0FF32395A23DA20</vt:lpwstr>
  </property>
</Properties>
</file>